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37D6E" w14:textId="56070BEB" w:rsidR="00251804" w:rsidRPr="00B266B0" w:rsidRDefault="00251804" w:rsidP="0025180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#105bis</w:t>
      </w:r>
      <w:r w:rsidRPr="00B266B0">
        <w:rPr>
          <w:bCs/>
          <w:noProof w:val="0"/>
          <w:sz w:val="24"/>
          <w:szCs w:val="24"/>
        </w:rPr>
        <w:tab/>
      </w:r>
      <w:r w:rsidR="00EF47AC" w:rsidRPr="00EF47AC">
        <w:rPr>
          <w:bCs/>
          <w:noProof w:val="0"/>
          <w:sz w:val="24"/>
          <w:szCs w:val="24"/>
        </w:rPr>
        <w:t xml:space="preserve">R2-1904266    </w:t>
      </w:r>
    </w:p>
    <w:p w14:paraId="4A4FCDEF" w14:textId="0CE96D7A" w:rsidR="00251804" w:rsidRPr="00465587" w:rsidRDefault="00251804" w:rsidP="00251804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Xian</w:t>
      </w:r>
      <w:r w:rsidRPr="00465587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China</w:t>
      </w:r>
      <w:r w:rsidRPr="00465587">
        <w:rPr>
          <w:bCs/>
          <w:sz w:val="24"/>
          <w:szCs w:val="24"/>
          <w:lang w:eastAsia="zh-CN"/>
        </w:rPr>
        <w:t xml:space="preserve">, </w:t>
      </w:r>
      <w:r>
        <w:rPr>
          <w:rFonts w:cs="Arial"/>
          <w:bCs/>
          <w:sz w:val="22"/>
        </w:rPr>
        <w:t>08 – 12 April</w:t>
      </w:r>
      <w:r w:rsidRPr="004D1605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9</w:t>
      </w:r>
      <w:r>
        <w:rPr>
          <w:noProof w:val="0"/>
          <w:sz w:val="24"/>
          <w:szCs w:val="24"/>
          <w:lang w:eastAsia="zh-CN"/>
        </w:rPr>
        <w:tab/>
      </w:r>
      <w:r w:rsidR="00EF47AC" w:rsidRPr="00EF47AC">
        <w:rPr>
          <w:i/>
          <w:noProof w:val="0"/>
          <w:sz w:val="24"/>
          <w:szCs w:val="24"/>
          <w:lang w:eastAsia="zh-CN"/>
        </w:rPr>
        <w:t>R2-1900286</w:t>
      </w:r>
      <w:bookmarkStart w:id="0" w:name="_GoBack"/>
      <w:bookmarkEnd w:id="0"/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AF75D6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A0BCC">
        <w:rPr>
          <w:rFonts w:cs="Arial"/>
          <w:b/>
          <w:bCs/>
          <w:sz w:val="24"/>
          <w:lang w:eastAsia="ja-JP"/>
        </w:rPr>
        <w:t>10.</w:t>
      </w:r>
      <w:r w:rsidR="008B4B70">
        <w:rPr>
          <w:rFonts w:cs="Arial"/>
          <w:b/>
          <w:bCs/>
          <w:sz w:val="24"/>
          <w:lang w:eastAsia="ja-JP"/>
        </w:rPr>
        <w:t>2.2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612B31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C6F04">
        <w:rPr>
          <w:rFonts w:ascii="Arial" w:hAnsi="Arial" w:cs="Arial"/>
          <w:b/>
          <w:bCs/>
          <w:sz w:val="24"/>
        </w:rPr>
        <w:t xml:space="preserve">Clarification to </w:t>
      </w:r>
      <w:r w:rsidR="001C6F04" w:rsidRPr="001C6F04">
        <w:rPr>
          <w:rFonts w:ascii="Arial" w:hAnsi="Arial" w:cs="Arial"/>
          <w:b/>
          <w:bCs/>
          <w:sz w:val="24"/>
        </w:rPr>
        <w:t>UE-EUTRA-Capability</w:t>
      </w:r>
      <w:r w:rsidR="001C6F04">
        <w:rPr>
          <w:rFonts w:ascii="Arial" w:hAnsi="Arial" w:cs="Arial"/>
          <w:b/>
          <w:bCs/>
          <w:sz w:val="24"/>
        </w:rPr>
        <w:t xml:space="preserve"> in EN-DC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9A70EC6" w14:textId="79E555CE" w:rsidR="00322972" w:rsidRDefault="001C6F04" w:rsidP="006A7DF5">
      <w:r>
        <w:t>In RAN2#</w:t>
      </w:r>
      <w:r w:rsidR="00322972">
        <w:t xml:space="preserve">104 meeting, CR0086 to TS 37.340 [1] was agreed to capture </w:t>
      </w:r>
      <w:r w:rsidR="006A7DF5">
        <w:t xml:space="preserve">the </w:t>
      </w:r>
      <w:r w:rsidR="00322972">
        <w:t>need for</w:t>
      </w:r>
      <w:r w:rsidR="006A7DF5">
        <w:t xml:space="preserve"> p</w:t>
      </w:r>
      <w:r w:rsidR="006A7DF5" w:rsidRPr="00933AAF">
        <w:t xml:space="preserve">er-UE or per-FR measurement gaps </w:t>
      </w:r>
      <w:r w:rsidR="006A7DF5">
        <w:t>configuration in MR DC, adding the following statements to TS 37.340 sub-clause 7.2:”</w:t>
      </w:r>
    </w:p>
    <w:p w14:paraId="6C90101E" w14:textId="77777777" w:rsidR="006A7DF5" w:rsidRDefault="006A7DF5" w:rsidP="006A7DF5">
      <w:r w:rsidRPr="00D5294A">
        <w:rPr>
          <w:highlight w:val="green"/>
        </w:rPr>
        <w:t>In the following scenarios</w:t>
      </w:r>
      <w:r>
        <w:t xml:space="preserve">, a measurement gap configuration is always provided </w:t>
      </w:r>
      <w:r w:rsidRPr="00F479EC">
        <w:rPr>
          <w:highlight w:val="green"/>
        </w:rPr>
        <w:t>in the following scenarios</w:t>
      </w:r>
      <w:r>
        <w:t>:</w:t>
      </w:r>
    </w:p>
    <w:p w14:paraId="04538500" w14:textId="77777777" w:rsidR="00322972" w:rsidRPr="00322972" w:rsidRDefault="00322972" w:rsidP="0022636F">
      <w:pPr>
        <w:pStyle w:val="B1"/>
        <w:ind w:left="852"/>
        <w:rPr>
          <w:color w:val="808080" w:themeColor="background1" w:themeShade="80"/>
          <w:lang w:val="en-US"/>
        </w:rPr>
      </w:pPr>
      <w:r w:rsidRPr="00322972">
        <w:rPr>
          <w:color w:val="808080" w:themeColor="background1" w:themeShade="80"/>
          <w:highlight w:val="yellow"/>
          <w:lang w:val="en-US"/>
        </w:rPr>
        <w:t>-</w:t>
      </w:r>
      <w:r w:rsidRPr="00322972">
        <w:rPr>
          <w:color w:val="808080" w:themeColor="background1" w:themeShade="80"/>
          <w:highlight w:val="yellow"/>
          <w:lang w:val="en-US"/>
        </w:rPr>
        <w:tab/>
        <w:t>For UEs configured with E-UTRA inter-frequency measurements;</w:t>
      </w:r>
    </w:p>
    <w:p w14:paraId="1321F5DE" w14:textId="77777777" w:rsidR="00322972" w:rsidRPr="00322972" w:rsidRDefault="00322972" w:rsidP="0022636F">
      <w:pPr>
        <w:pStyle w:val="B1"/>
        <w:ind w:left="852"/>
        <w:rPr>
          <w:color w:val="808080" w:themeColor="background1" w:themeShade="80"/>
        </w:rPr>
      </w:pPr>
      <w:r w:rsidRPr="00322972">
        <w:rPr>
          <w:color w:val="808080" w:themeColor="background1" w:themeShade="80"/>
          <w:lang w:val="en-US"/>
        </w:rPr>
        <w:t>-</w:t>
      </w:r>
      <w:r w:rsidRPr="00322972">
        <w:rPr>
          <w:color w:val="808080" w:themeColor="background1" w:themeShade="80"/>
          <w:lang w:val="en-US"/>
        </w:rPr>
        <w:tab/>
      </w:r>
      <w:r w:rsidRPr="00322972">
        <w:rPr>
          <w:color w:val="808080" w:themeColor="background1" w:themeShade="80"/>
        </w:rPr>
        <w:t>For UEs that support either per-UE or per-FR gaps, when the conditions to measure SSB based inter-frequency measurement or SSB based intra-frequency measurement as described in section 9.2.4 in TS38.300 [3] are met;</w:t>
      </w:r>
    </w:p>
    <w:p w14:paraId="5611AD44" w14:textId="53253B97" w:rsidR="006A7DF5" w:rsidRDefault="006A7DF5" w:rsidP="00CD4C7B">
      <w:pPr>
        <w:rPr>
          <w:noProof/>
        </w:rPr>
      </w:pPr>
      <w:r>
        <w:rPr>
          <w:noProof/>
        </w:rPr>
        <w:t>The green highlighted text</w:t>
      </w:r>
      <w:r w:rsidR="00F479EC">
        <w:rPr>
          <w:noProof/>
        </w:rPr>
        <w:t xml:space="preserve"> (we assume that there is an editorial issue)</w:t>
      </w:r>
      <w:r>
        <w:rPr>
          <w:noProof/>
        </w:rPr>
        <w:t xml:space="preserve"> seems to refer to the scenarios described below the added statements, i.e to the case </w:t>
      </w:r>
      <w:r w:rsidR="00D5207B">
        <w:rPr>
          <w:noProof/>
        </w:rPr>
        <w:t>when</w:t>
      </w:r>
      <w:r>
        <w:rPr>
          <w:noProof/>
        </w:rPr>
        <w:t xml:space="preserve"> the UE is configured in EN-DC or in NGEN-DC or in NE-DC or in NR-DC.</w:t>
      </w:r>
    </w:p>
    <w:p w14:paraId="03C910A9" w14:textId="77777777" w:rsidR="00F479EC" w:rsidRDefault="0022636F" w:rsidP="00CD4C7B">
      <w:pPr>
        <w:rPr>
          <w:noProof/>
        </w:rPr>
      </w:pPr>
      <w:r>
        <w:rPr>
          <w:noProof/>
        </w:rPr>
        <w:t xml:space="preserve">The </w:t>
      </w:r>
      <w:r w:rsidR="006A7DF5">
        <w:rPr>
          <w:noProof/>
        </w:rPr>
        <w:t xml:space="preserve">yellow </w:t>
      </w:r>
      <w:r>
        <w:rPr>
          <w:noProof/>
        </w:rPr>
        <w:t xml:space="preserve">highlighted </w:t>
      </w:r>
      <w:r w:rsidR="006A7DF5">
        <w:rPr>
          <w:noProof/>
        </w:rPr>
        <w:t xml:space="preserve">text </w:t>
      </w:r>
      <w:r>
        <w:rPr>
          <w:noProof/>
        </w:rPr>
        <w:t>agreed by CR0086 can be interpr</w:t>
      </w:r>
      <w:r w:rsidR="006A7DF5">
        <w:rPr>
          <w:noProof/>
        </w:rPr>
        <w:t>e</w:t>
      </w:r>
      <w:r>
        <w:rPr>
          <w:noProof/>
        </w:rPr>
        <w:t xml:space="preserve">ated </w:t>
      </w:r>
      <w:r w:rsidR="00D5207B">
        <w:rPr>
          <w:noProof/>
        </w:rPr>
        <w:t xml:space="preserve">as </w:t>
      </w:r>
      <w:r>
        <w:rPr>
          <w:noProof/>
        </w:rPr>
        <w:t xml:space="preserve">that in EN-DC any intra-RAT inter-frequency </w:t>
      </w:r>
      <w:r w:rsidR="006A7DF5">
        <w:rPr>
          <w:noProof/>
        </w:rPr>
        <w:t xml:space="preserve">(as well as inter-RAT for any RAT different from NR) </w:t>
      </w:r>
      <w:r>
        <w:rPr>
          <w:noProof/>
        </w:rPr>
        <w:t xml:space="preserve">measurement </w:t>
      </w:r>
      <w:r w:rsidR="00D5207B">
        <w:rPr>
          <w:noProof/>
        </w:rPr>
        <w:t>activated</w:t>
      </w:r>
      <w:r w:rsidR="006A7DF5">
        <w:rPr>
          <w:noProof/>
        </w:rPr>
        <w:t xml:space="preserve"> by the MeNB </w:t>
      </w:r>
      <w:r>
        <w:rPr>
          <w:noProof/>
        </w:rPr>
        <w:t>need</w:t>
      </w:r>
      <w:r w:rsidR="004478B4">
        <w:rPr>
          <w:noProof/>
        </w:rPr>
        <w:t>s</w:t>
      </w:r>
      <w:r>
        <w:rPr>
          <w:noProof/>
        </w:rPr>
        <w:t xml:space="preserve"> </w:t>
      </w:r>
      <w:r w:rsidR="00D5207B">
        <w:rPr>
          <w:noProof/>
        </w:rPr>
        <w:t xml:space="preserve">measurement </w:t>
      </w:r>
      <w:r>
        <w:rPr>
          <w:noProof/>
        </w:rPr>
        <w:t>gap</w:t>
      </w:r>
      <w:r w:rsidR="006A7DF5">
        <w:rPr>
          <w:noProof/>
        </w:rPr>
        <w:t>s</w:t>
      </w:r>
      <w:r>
        <w:rPr>
          <w:noProof/>
        </w:rPr>
        <w:t xml:space="preserve">, which brings </w:t>
      </w:r>
      <w:r w:rsidR="004478B4">
        <w:rPr>
          <w:noProof/>
        </w:rPr>
        <w:t>confusion</w:t>
      </w:r>
      <w:r>
        <w:rPr>
          <w:noProof/>
        </w:rPr>
        <w:t xml:space="preserve"> to </w:t>
      </w:r>
      <w:r w:rsidR="004478B4">
        <w:rPr>
          <w:noProof/>
        </w:rPr>
        <w:t xml:space="preserve">our </w:t>
      </w:r>
      <w:r>
        <w:rPr>
          <w:noProof/>
        </w:rPr>
        <w:t>network implementation.</w:t>
      </w:r>
    </w:p>
    <w:p w14:paraId="2F817952" w14:textId="77777777" w:rsidR="00F479EC" w:rsidRDefault="00F479EC" w:rsidP="00CD4C7B">
      <w:pPr>
        <w:rPr>
          <w:noProof/>
        </w:rPr>
      </w:pPr>
      <w:r>
        <w:rPr>
          <w:noProof/>
        </w:rPr>
        <w:t>Furthermore, the RAN4 LS clarified to RAN2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79EC" w14:paraId="1B304372" w14:textId="77777777" w:rsidTr="00F479EC">
        <w:tc>
          <w:tcPr>
            <w:tcW w:w="9631" w:type="dxa"/>
          </w:tcPr>
          <w:p w14:paraId="1184EF4F" w14:textId="77777777" w:rsidR="00F479EC" w:rsidRDefault="00F479EC" w:rsidP="00F479EC">
            <w:pPr>
              <w:pStyle w:val="Header"/>
              <w:rPr>
                <w:rFonts w:cs="Arial"/>
              </w:rPr>
            </w:pPr>
            <w:r>
              <w:rPr>
                <w:rFonts w:cs="Arial"/>
              </w:rPr>
              <w:t xml:space="preserve">RAN4 would like to thank RAN2 for the LS on </w:t>
            </w:r>
            <w:r w:rsidRPr="00B377D9">
              <w:rPr>
                <w:rFonts w:cs="Arial"/>
              </w:rPr>
              <w:t>UE capability of measurement gap for inter-RAT NR measurement not yet configured with EN-DC</w:t>
            </w:r>
            <w:r>
              <w:rPr>
                <w:rFonts w:cs="Arial"/>
              </w:rPr>
              <w:t xml:space="preserve"> in which</w:t>
            </w:r>
            <w:r w:rsidRPr="00CC4753">
              <w:t xml:space="preserve"> </w:t>
            </w:r>
            <w:r w:rsidRPr="00CC4753">
              <w:rPr>
                <w:rFonts w:cs="Arial"/>
              </w:rPr>
              <w:t xml:space="preserve">RAN2 would like to ask RAN4 </w:t>
            </w:r>
            <w:r w:rsidRPr="00731FC2">
              <w:rPr>
                <w:rFonts w:cs="Arial"/>
              </w:rPr>
              <w:t xml:space="preserve">whether the MR-DC band combinations reported in UE capability can </w:t>
            </w:r>
            <w:r w:rsidRPr="00731FC2">
              <w:rPr>
                <w:rFonts w:cs="Arial" w:hint="eastAsia"/>
                <w:lang w:eastAsia="zh-CN"/>
              </w:rPr>
              <w:t>allow</w:t>
            </w:r>
            <w:r w:rsidRPr="00731FC2">
              <w:rPr>
                <w:rFonts w:cs="Arial"/>
              </w:rPr>
              <w:t xml:space="preserve"> the network </w:t>
            </w:r>
            <w:r w:rsidRPr="00731FC2">
              <w:rPr>
                <w:rFonts w:cs="Arial"/>
                <w:lang w:eastAsia="zh-CN"/>
              </w:rPr>
              <w:t>to identify</w:t>
            </w:r>
            <w:r w:rsidRPr="00731FC2">
              <w:rPr>
                <w:rFonts w:cs="Arial"/>
              </w:rPr>
              <w:t xml:space="preserve"> the cases where</w:t>
            </w:r>
            <w:r w:rsidRPr="00731FC2">
              <w:rPr>
                <w:rFonts w:cs="Arial" w:hint="eastAsia"/>
                <w:lang w:eastAsia="zh-CN"/>
              </w:rPr>
              <w:t xml:space="preserve"> the LTE UE not yet configured with EN-DC can perform</w:t>
            </w:r>
            <w:r w:rsidRPr="00731FC2">
              <w:rPr>
                <w:rFonts w:cs="Arial"/>
              </w:rPr>
              <w:t xml:space="preserve"> gapless measurements</w:t>
            </w:r>
            <w:r>
              <w:rPr>
                <w:rFonts w:cs="Arial"/>
                <w:lang w:val="en-US"/>
              </w:rPr>
              <w:t>.</w:t>
            </w:r>
          </w:p>
          <w:p w14:paraId="33DD67BE" w14:textId="77777777" w:rsidR="00F479EC" w:rsidRDefault="00F479EC" w:rsidP="00F479EC">
            <w:pPr>
              <w:pStyle w:val="Header"/>
              <w:rPr>
                <w:rFonts w:cs="Arial"/>
              </w:rPr>
            </w:pPr>
          </w:p>
          <w:p w14:paraId="4FE1A6C9" w14:textId="77777777" w:rsidR="00F479EC" w:rsidRDefault="00F479EC" w:rsidP="00F479EC">
            <w:pPr>
              <w:pStyle w:val="Header"/>
              <w:rPr>
                <w:rFonts w:cs="Arial"/>
                <w:bCs/>
              </w:rPr>
            </w:pPr>
            <w:r w:rsidRPr="00731A65">
              <w:rPr>
                <w:rFonts w:cs="Arial"/>
              </w:rPr>
              <w:t>RAN</w:t>
            </w:r>
            <w:r>
              <w:rPr>
                <w:rFonts w:cs="Arial"/>
              </w:rPr>
              <w:t>4</w:t>
            </w:r>
            <w:r w:rsidRPr="00731A65">
              <w:rPr>
                <w:rFonts w:cs="Arial"/>
              </w:rPr>
              <w:t xml:space="preserve"> would like to </w:t>
            </w:r>
            <w:r>
              <w:rPr>
                <w:rFonts w:cs="Arial"/>
              </w:rPr>
              <w:t>inform</w:t>
            </w:r>
            <w:r w:rsidRPr="00731A65">
              <w:rPr>
                <w:rFonts w:cs="Arial"/>
              </w:rPr>
              <w:t xml:space="preserve"> RAN</w:t>
            </w:r>
            <w:r>
              <w:rPr>
                <w:rFonts w:cs="Arial"/>
              </w:rPr>
              <w:t>2 the following conclusion in RAN4</w:t>
            </w:r>
            <w:r>
              <w:rPr>
                <w:rFonts w:cs="Arial"/>
                <w:bCs/>
              </w:rPr>
              <w:t>.</w:t>
            </w:r>
          </w:p>
          <w:p w14:paraId="4BFBEFED" w14:textId="73E3DB96" w:rsidR="00F479EC" w:rsidRPr="00F479EC" w:rsidRDefault="00F479EC" w:rsidP="00CD4C7B">
            <w:pPr>
              <w:pStyle w:val="ListParagraph"/>
              <w:numPr>
                <w:ilvl w:val="0"/>
                <w:numId w:val="7"/>
              </w:numPr>
              <w:spacing w:before="120" w:after="0"/>
              <w:contextualSpacing w:val="0"/>
              <w:rPr>
                <w:rFonts w:ascii="Arial" w:eastAsia="Times New Roman" w:hAnsi="Arial" w:cs="Arial"/>
              </w:rPr>
            </w:pPr>
            <w:r w:rsidRPr="00CD4569">
              <w:rPr>
                <w:rFonts w:ascii="Arial" w:eastAsia="Times New Roman" w:hAnsi="Arial" w:cs="Arial"/>
              </w:rPr>
              <w:t>In general, network cannot identify the cases of gapless measurement purely based on MR-DC band combinations reported from UE. However, if this LTE UE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CD4569">
              <w:rPr>
                <w:rFonts w:ascii="Arial" w:eastAsia="Times New Roman" w:hAnsi="Arial" w:cs="Arial"/>
              </w:rPr>
              <w:t>(not yet configured with EN-DC) has per-FR measurement capability and it is configured to measure FR2 inter-RAT MO</w:t>
            </w:r>
            <w:r>
              <w:rPr>
                <w:rFonts w:ascii="Arial" w:eastAsia="Times New Roman" w:hAnsi="Arial" w:cs="Arial"/>
              </w:rPr>
              <w:t xml:space="preserve"> only</w:t>
            </w:r>
            <w:r w:rsidRPr="00CD4569">
              <w:rPr>
                <w:rFonts w:ascii="Arial" w:eastAsia="Times New Roman" w:hAnsi="Arial" w:cs="Arial"/>
              </w:rPr>
              <w:t xml:space="preserve">, </w:t>
            </w:r>
            <w:r w:rsidRPr="00840B35">
              <w:rPr>
                <w:rFonts w:ascii="Arial" w:eastAsia="Times New Roman" w:hAnsi="Arial" w:cs="Arial"/>
                <w:highlight w:val="green"/>
              </w:rPr>
              <w:t>gapless measurement is possible</w:t>
            </w:r>
            <w:r w:rsidRPr="00CD4569">
              <w:rPr>
                <w:rFonts w:ascii="Arial" w:eastAsia="Times New Roman" w:hAnsi="Arial" w:cs="Arial"/>
              </w:rPr>
              <w:t xml:space="preserve">. </w:t>
            </w:r>
          </w:p>
        </w:tc>
      </w:tr>
    </w:tbl>
    <w:p w14:paraId="564C81EE" w14:textId="127224BF" w:rsidR="00EB1E44" w:rsidRDefault="0022636F" w:rsidP="00CD4C7B">
      <w:pPr>
        <w:rPr>
          <w:noProof/>
        </w:rPr>
      </w:pPr>
      <w:r>
        <w:rPr>
          <w:noProof/>
        </w:rPr>
        <w:t xml:space="preserve"> </w:t>
      </w:r>
    </w:p>
    <w:p w14:paraId="3FF86703" w14:textId="3E7AD07F" w:rsidR="00162ED0" w:rsidRDefault="00840B35" w:rsidP="00CD4C7B">
      <w:pPr>
        <w:rPr>
          <w:noProof/>
        </w:rPr>
      </w:pPr>
      <w:r>
        <w:rPr>
          <w:noProof/>
        </w:rPr>
        <w:t>The LS wanted to clarify in which scenarios an EN-DC capable UE could perform gapless measurements. But the text captured in the TS 37.340 is completely out of place (in our view).</w:t>
      </w:r>
    </w:p>
    <w:p w14:paraId="15E65FF7" w14:textId="2D47BDE9" w:rsidR="00322972" w:rsidRDefault="0022636F" w:rsidP="00CD4C7B">
      <w:r>
        <w:rPr>
          <w:noProof/>
        </w:rPr>
        <w:t xml:space="preserve">This paper is to discuss </w:t>
      </w:r>
      <w:r w:rsidR="00570E37">
        <w:rPr>
          <w:noProof/>
        </w:rPr>
        <w:t>the case once again</w:t>
      </w:r>
      <w:r>
        <w:rPr>
          <w:noProof/>
        </w:rPr>
        <w:t xml:space="preserve"> and seek clarification in RAN2.</w:t>
      </w:r>
    </w:p>
    <w:p w14:paraId="127ACA6D" w14:textId="0B94BBB3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361DE0">
        <w:t>NeedForGap to UTRA and E-UTRA in EN-DC</w:t>
      </w:r>
    </w:p>
    <w:p w14:paraId="25685C5F" w14:textId="3C8A8039" w:rsidR="0041444E" w:rsidRDefault="0022636F" w:rsidP="0022636F">
      <w:pPr>
        <w:rPr>
          <w:rFonts w:cs="Arial"/>
          <w:bCs/>
          <w:iCs/>
          <w:szCs w:val="18"/>
        </w:rPr>
      </w:pPr>
      <w:r>
        <w:t xml:space="preserve">In past discussion, RAN2 </w:t>
      </w:r>
      <w:r w:rsidR="006A7DF5">
        <w:t>agreed not to add a “</w:t>
      </w:r>
      <w:r w:rsidRPr="00D5294A">
        <w:rPr>
          <w:i/>
        </w:rPr>
        <w:t>NeedForGap</w:t>
      </w:r>
      <w:r w:rsidR="0041444E">
        <w:t>”</w:t>
      </w:r>
      <w:r>
        <w:t xml:space="preserve"> to </w:t>
      </w:r>
      <w:r w:rsidR="00EE2408">
        <w:t xml:space="preserve">each </w:t>
      </w:r>
      <w:r>
        <w:t xml:space="preserve">NR band </w:t>
      </w:r>
      <w:r w:rsidR="006A7DF5">
        <w:t xml:space="preserve">capability </w:t>
      </w:r>
      <w:r>
        <w:t xml:space="preserve">to </w:t>
      </w:r>
      <w:r w:rsidRPr="00CC7909">
        <w:rPr>
          <w:i/>
          <w:noProof/>
        </w:rPr>
        <w:t>UE-EUTRA-Capability</w:t>
      </w:r>
      <w:r>
        <w:t xml:space="preserve"> in </w:t>
      </w:r>
      <w:r w:rsidR="00EE2408">
        <w:t>LTE RRC</w:t>
      </w:r>
      <w:r>
        <w:t xml:space="preserve"> Rel-15, </w:t>
      </w:r>
      <w:r w:rsidR="006A7DF5">
        <w:t xml:space="preserve">but to rely </w:t>
      </w:r>
      <w:r>
        <w:t xml:space="preserve">instead </w:t>
      </w:r>
      <w:r w:rsidR="006A7DF5">
        <w:t>on the</w:t>
      </w:r>
      <w:r>
        <w:t xml:space="preserve"> </w:t>
      </w:r>
      <w:r w:rsidR="006A7DF5">
        <w:t>“</w:t>
      </w:r>
      <w:r w:rsidRPr="001F528E">
        <w:rPr>
          <w:rFonts w:cs="Arial"/>
          <w:b/>
          <w:bCs/>
          <w:i/>
          <w:iCs/>
          <w:szCs w:val="18"/>
        </w:rPr>
        <w:t>independentGapConfig</w:t>
      </w:r>
      <w:r w:rsidR="006A7DF5">
        <w:rPr>
          <w:rFonts w:cs="Arial"/>
          <w:b/>
          <w:bCs/>
          <w:i/>
          <w:iCs/>
          <w:szCs w:val="18"/>
        </w:rPr>
        <w:t>”</w:t>
      </w:r>
      <w:r>
        <w:rPr>
          <w:rFonts w:cs="Arial"/>
          <w:b/>
          <w:bCs/>
          <w:i/>
          <w:iCs/>
          <w:szCs w:val="18"/>
        </w:rPr>
        <w:t xml:space="preserve"> </w:t>
      </w:r>
      <w:r w:rsidR="006A7DF5" w:rsidRPr="00D5294A">
        <w:rPr>
          <w:rFonts w:cs="Arial"/>
          <w:bCs/>
          <w:iCs/>
          <w:szCs w:val="18"/>
        </w:rPr>
        <w:t>UE</w:t>
      </w:r>
      <w:r w:rsidR="006A7DF5">
        <w:rPr>
          <w:rFonts w:cs="Arial"/>
          <w:b/>
          <w:bCs/>
          <w:i/>
          <w:iCs/>
          <w:szCs w:val="18"/>
        </w:rPr>
        <w:t xml:space="preserve"> </w:t>
      </w:r>
      <w:r>
        <w:rPr>
          <w:rFonts w:cs="Arial"/>
          <w:bCs/>
          <w:iCs/>
          <w:szCs w:val="18"/>
        </w:rPr>
        <w:t>capability together with supported band combination</w:t>
      </w:r>
      <w:r w:rsidR="0041444E">
        <w:rPr>
          <w:rFonts w:cs="Arial"/>
          <w:bCs/>
          <w:iCs/>
          <w:szCs w:val="18"/>
        </w:rPr>
        <w:t xml:space="preserve">. </w:t>
      </w:r>
    </w:p>
    <w:p w14:paraId="3888FF11" w14:textId="7EBF9E32" w:rsidR="006173C7" w:rsidRDefault="0041444E" w:rsidP="006173C7">
      <w:pPr>
        <w:rPr>
          <w:rFonts w:cs="Arial"/>
          <w:bCs/>
          <w:iCs/>
          <w:szCs w:val="18"/>
        </w:rPr>
      </w:pPr>
      <w:r>
        <w:rPr>
          <w:rFonts w:cs="Arial"/>
          <w:bCs/>
          <w:iCs/>
          <w:szCs w:val="18"/>
        </w:rPr>
        <w:t>The “</w:t>
      </w:r>
      <w:r w:rsidRPr="00D5294A">
        <w:rPr>
          <w:rFonts w:cs="Arial"/>
          <w:bCs/>
          <w:i/>
          <w:iCs/>
          <w:szCs w:val="18"/>
        </w:rPr>
        <w:t>independentGapConfig</w:t>
      </w:r>
      <w:r>
        <w:rPr>
          <w:rFonts w:cs="Arial"/>
          <w:bCs/>
          <w:iCs/>
          <w:szCs w:val="18"/>
        </w:rPr>
        <w:t xml:space="preserve">” UE capability can </w:t>
      </w:r>
      <w:r w:rsidR="00DF493F">
        <w:rPr>
          <w:rFonts w:cs="Arial"/>
          <w:bCs/>
          <w:iCs/>
          <w:szCs w:val="18"/>
        </w:rPr>
        <w:t xml:space="preserve">e.g. </w:t>
      </w:r>
      <w:r>
        <w:rPr>
          <w:rFonts w:cs="Arial"/>
          <w:bCs/>
          <w:iCs/>
          <w:szCs w:val="18"/>
        </w:rPr>
        <w:t xml:space="preserve">be used by the </w:t>
      </w:r>
      <w:r w:rsidR="006173C7">
        <w:rPr>
          <w:rFonts w:cs="Arial"/>
          <w:bCs/>
          <w:iCs/>
          <w:szCs w:val="18"/>
        </w:rPr>
        <w:t xml:space="preserve">serving </w:t>
      </w:r>
      <w:r w:rsidR="0022636F">
        <w:rPr>
          <w:rFonts w:cs="Arial"/>
          <w:bCs/>
          <w:iCs/>
          <w:szCs w:val="18"/>
        </w:rPr>
        <w:t>eNB</w:t>
      </w:r>
      <w:r>
        <w:rPr>
          <w:rFonts w:cs="Arial"/>
          <w:bCs/>
          <w:iCs/>
          <w:szCs w:val="18"/>
        </w:rPr>
        <w:t xml:space="preserve"> to know</w:t>
      </w:r>
      <w:r w:rsidR="00DF493F">
        <w:rPr>
          <w:rFonts w:cs="Arial"/>
          <w:bCs/>
          <w:iCs/>
          <w:szCs w:val="18"/>
        </w:rPr>
        <w:t>:</w:t>
      </w:r>
    </w:p>
    <w:p w14:paraId="0AA6CA10" w14:textId="1824E318" w:rsidR="006173C7" w:rsidRPr="00D5294A" w:rsidRDefault="006173C7" w:rsidP="00D5294A">
      <w:pPr>
        <w:pStyle w:val="ListParagraph"/>
        <w:numPr>
          <w:ilvl w:val="0"/>
          <w:numId w:val="6"/>
        </w:numPr>
        <w:rPr>
          <w:rFonts w:cs="Arial"/>
          <w:bCs/>
          <w:iCs/>
          <w:szCs w:val="18"/>
        </w:rPr>
      </w:pPr>
      <w:r>
        <w:rPr>
          <w:rFonts w:cs="Arial"/>
          <w:bCs/>
          <w:iCs/>
          <w:szCs w:val="18"/>
        </w:rPr>
        <w:lastRenderedPageBreak/>
        <w:t>W</w:t>
      </w:r>
      <w:r w:rsidR="0041444E" w:rsidRPr="00D528F5">
        <w:rPr>
          <w:rFonts w:cs="Arial"/>
          <w:bCs/>
          <w:iCs/>
          <w:szCs w:val="18"/>
        </w:rPr>
        <w:t>hether</w:t>
      </w:r>
      <w:r w:rsidRPr="00D528F5">
        <w:rPr>
          <w:rFonts w:cs="Arial"/>
          <w:bCs/>
          <w:iCs/>
          <w:szCs w:val="18"/>
        </w:rPr>
        <w:t xml:space="preserve"> f</w:t>
      </w:r>
      <w:r w:rsidR="0041444E" w:rsidRPr="00D528F5">
        <w:rPr>
          <w:rFonts w:cs="Arial"/>
          <w:bCs/>
          <w:iCs/>
          <w:szCs w:val="18"/>
        </w:rPr>
        <w:t xml:space="preserve">or a UE in EN-DC </w:t>
      </w:r>
      <w:r w:rsidR="00DF493F">
        <w:rPr>
          <w:rFonts w:cs="Arial"/>
          <w:bCs/>
          <w:iCs/>
          <w:szCs w:val="18"/>
        </w:rPr>
        <w:t xml:space="preserve">mode </w:t>
      </w:r>
      <w:r w:rsidR="0041444E" w:rsidRPr="00D528F5">
        <w:rPr>
          <w:rFonts w:cs="Arial"/>
          <w:bCs/>
          <w:iCs/>
          <w:szCs w:val="18"/>
        </w:rPr>
        <w:t xml:space="preserve">with serving cells both on FR1 and on FR2, </w:t>
      </w:r>
      <w:r w:rsidRPr="00D528F5">
        <w:rPr>
          <w:rFonts w:cs="Arial"/>
          <w:bCs/>
          <w:iCs/>
          <w:szCs w:val="18"/>
        </w:rPr>
        <w:t xml:space="preserve">it must configure </w:t>
      </w:r>
      <w:r w:rsidR="0041444E" w:rsidRPr="00D528F5">
        <w:rPr>
          <w:rFonts w:cs="Arial"/>
          <w:bCs/>
          <w:iCs/>
          <w:szCs w:val="18"/>
        </w:rPr>
        <w:t>m</w:t>
      </w:r>
      <w:r w:rsidR="00B462B7" w:rsidRPr="00D528F5">
        <w:rPr>
          <w:rFonts w:cs="Arial"/>
          <w:bCs/>
          <w:iCs/>
          <w:szCs w:val="18"/>
        </w:rPr>
        <w:t>easurement gaps</w:t>
      </w:r>
      <w:r w:rsidRPr="002A0BCC">
        <w:rPr>
          <w:rFonts w:cs="Arial"/>
          <w:bCs/>
          <w:iCs/>
          <w:szCs w:val="18"/>
        </w:rPr>
        <w:t xml:space="preserve">, </w:t>
      </w:r>
      <w:r w:rsidRPr="002A0BCC">
        <w:rPr>
          <w:rFonts w:cs="Arial"/>
          <w:b/>
          <w:bCs/>
          <w:iCs/>
          <w:szCs w:val="18"/>
        </w:rPr>
        <w:t xml:space="preserve">when needed on FR1 for whatever purpose </w:t>
      </w:r>
      <w:r w:rsidRPr="002A0BCC">
        <w:rPr>
          <w:rFonts w:cs="Arial"/>
          <w:bCs/>
          <w:iCs/>
          <w:szCs w:val="18"/>
        </w:rPr>
        <w:t xml:space="preserve">(e.g. for LTE inter-frequency or inter-RAT UTRAN or NR measurements etc), </w:t>
      </w:r>
      <w:r w:rsidRPr="00D5294A">
        <w:rPr>
          <w:rFonts w:cs="Arial"/>
          <w:bCs/>
          <w:iCs/>
          <w:szCs w:val="18"/>
        </w:rPr>
        <w:t>also on FR2 or on FR1 only.</w:t>
      </w:r>
    </w:p>
    <w:p w14:paraId="717F08B1" w14:textId="6F99042A" w:rsidR="00B462B7" w:rsidRPr="009C5DD7" w:rsidRDefault="006173C7">
      <w:pPr>
        <w:rPr>
          <w:rFonts w:cs="Arial"/>
          <w:bCs/>
          <w:iCs/>
          <w:szCs w:val="18"/>
        </w:rPr>
      </w:pPr>
      <w:r>
        <w:rPr>
          <w:rFonts w:cs="Arial"/>
          <w:bCs/>
          <w:iCs/>
          <w:szCs w:val="18"/>
        </w:rPr>
        <w:t xml:space="preserve"> Or </w:t>
      </w:r>
    </w:p>
    <w:p w14:paraId="54E84AF7" w14:textId="4F564043" w:rsidR="009C5DD7" w:rsidRPr="009C5DD7" w:rsidRDefault="00DF493F" w:rsidP="00D5294A">
      <w:pPr>
        <w:pStyle w:val="ListParagraph"/>
        <w:numPr>
          <w:ilvl w:val="0"/>
          <w:numId w:val="5"/>
        </w:numPr>
        <w:rPr>
          <w:rFonts w:cs="Arial"/>
          <w:bCs/>
          <w:iCs/>
          <w:szCs w:val="18"/>
        </w:rPr>
      </w:pPr>
      <w:r>
        <w:rPr>
          <w:rFonts w:cs="Arial"/>
          <w:bCs/>
          <w:iCs/>
          <w:szCs w:val="18"/>
        </w:rPr>
        <w:t>Whether f</w:t>
      </w:r>
      <w:r w:rsidR="006173C7">
        <w:rPr>
          <w:rFonts w:cs="Arial"/>
          <w:bCs/>
          <w:iCs/>
          <w:szCs w:val="18"/>
        </w:rPr>
        <w:t xml:space="preserve">or a UE </w:t>
      </w:r>
      <w:r>
        <w:rPr>
          <w:rFonts w:cs="Arial"/>
          <w:bCs/>
          <w:iCs/>
          <w:szCs w:val="18"/>
        </w:rPr>
        <w:t>in or not in EN-DC mode</w:t>
      </w:r>
      <w:r w:rsidR="006173C7">
        <w:rPr>
          <w:rFonts w:cs="Arial"/>
          <w:bCs/>
          <w:iCs/>
          <w:szCs w:val="18"/>
        </w:rPr>
        <w:t xml:space="preserve">, </w:t>
      </w:r>
      <w:r>
        <w:rPr>
          <w:rFonts w:cs="Arial"/>
          <w:bCs/>
          <w:iCs/>
          <w:szCs w:val="18"/>
        </w:rPr>
        <w:t xml:space="preserve">it must configure </w:t>
      </w:r>
      <w:r w:rsidR="0022636F" w:rsidRPr="009C5DD7">
        <w:rPr>
          <w:rFonts w:cs="Arial"/>
          <w:bCs/>
          <w:iCs/>
          <w:szCs w:val="18"/>
        </w:rPr>
        <w:t>measurement gap</w:t>
      </w:r>
      <w:r w:rsidR="00B462B7" w:rsidRPr="009C5DD7">
        <w:rPr>
          <w:rFonts w:cs="Arial"/>
          <w:bCs/>
          <w:iCs/>
          <w:szCs w:val="18"/>
        </w:rPr>
        <w:t>s</w:t>
      </w:r>
      <w:r w:rsidR="0022636F" w:rsidRPr="009C5DD7">
        <w:rPr>
          <w:rFonts w:cs="Arial"/>
          <w:bCs/>
          <w:iCs/>
          <w:szCs w:val="18"/>
        </w:rPr>
        <w:t xml:space="preserve"> </w:t>
      </w:r>
      <w:r>
        <w:rPr>
          <w:rFonts w:cs="Arial"/>
          <w:bCs/>
          <w:iCs/>
          <w:szCs w:val="18"/>
        </w:rPr>
        <w:t>when asking the UE to measure on FR2</w:t>
      </w:r>
      <w:r w:rsidR="0022636F" w:rsidRPr="009C5DD7">
        <w:rPr>
          <w:rFonts w:cs="Arial"/>
          <w:bCs/>
          <w:iCs/>
          <w:szCs w:val="18"/>
        </w:rPr>
        <w:t xml:space="preserve">. </w:t>
      </w:r>
    </w:p>
    <w:p w14:paraId="70317F46" w14:textId="5D7F44D4" w:rsidR="0022636F" w:rsidRDefault="00DF493F" w:rsidP="0022636F">
      <w:r>
        <w:rPr>
          <w:rFonts w:cs="Arial"/>
          <w:bCs/>
          <w:iCs/>
          <w:szCs w:val="18"/>
        </w:rPr>
        <w:t>Besides it is understood that a serving</w:t>
      </w:r>
      <w:r w:rsidR="0022636F">
        <w:rPr>
          <w:rFonts w:cs="Arial"/>
          <w:bCs/>
          <w:iCs/>
          <w:szCs w:val="18"/>
        </w:rPr>
        <w:t xml:space="preserve"> </w:t>
      </w:r>
      <w:r>
        <w:rPr>
          <w:rFonts w:cs="Arial"/>
          <w:bCs/>
          <w:iCs/>
          <w:szCs w:val="18"/>
        </w:rPr>
        <w:t xml:space="preserve">eNB must always configure </w:t>
      </w:r>
      <w:r w:rsidR="0071247E">
        <w:rPr>
          <w:rFonts w:cs="Arial"/>
          <w:bCs/>
          <w:iCs/>
          <w:szCs w:val="18"/>
        </w:rPr>
        <w:t xml:space="preserve">measurement gaps </w:t>
      </w:r>
      <w:r>
        <w:rPr>
          <w:rFonts w:cs="Arial"/>
          <w:bCs/>
          <w:iCs/>
          <w:szCs w:val="18"/>
        </w:rPr>
        <w:t>at the UE (in or not in EN-DC mode) when asking to measure on not serving</w:t>
      </w:r>
      <w:r w:rsidR="00EE67CA">
        <w:rPr>
          <w:rFonts w:cs="Arial"/>
          <w:bCs/>
          <w:iCs/>
          <w:szCs w:val="18"/>
        </w:rPr>
        <w:t xml:space="preserve"> </w:t>
      </w:r>
      <w:r w:rsidR="00EE67CA" w:rsidRPr="005C6428">
        <w:rPr>
          <w:rFonts w:cs="Arial"/>
          <w:bCs/>
          <w:iCs/>
          <w:szCs w:val="18"/>
        </w:rPr>
        <w:t>NR</w:t>
      </w:r>
      <w:r w:rsidRPr="005C6428">
        <w:rPr>
          <w:rFonts w:cs="Arial"/>
          <w:b/>
          <w:bCs/>
          <w:iCs/>
          <w:szCs w:val="18"/>
        </w:rPr>
        <w:t xml:space="preserve"> </w:t>
      </w:r>
      <w:r>
        <w:rPr>
          <w:rFonts w:cs="Arial"/>
          <w:bCs/>
          <w:iCs/>
          <w:szCs w:val="18"/>
        </w:rPr>
        <w:t>frequencies in FR1.</w:t>
      </w:r>
    </w:p>
    <w:p w14:paraId="38AAC03F" w14:textId="32C3AEEC" w:rsidR="00D5207B" w:rsidRDefault="0022636F" w:rsidP="0022636F">
      <w:r>
        <w:t xml:space="preserve">However, </w:t>
      </w:r>
      <w:r w:rsidR="0071247E">
        <w:t xml:space="preserve">the sentence added </w:t>
      </w:r>
      <w:r w:rsidR="004726E6">
        <w:t>via</w:t>
      </w:r>
      <w:r w:rsidR="0071247E">
        <w:t xml:space="preserve"> CR0086 impl</w:t>
      </w:r>
      <w:r w:rsidR="001018D0">
        <w:t>ies</w:t>
      </w:r>
      <w:r w:rsidR="0071247E">
        <w:t xml:space="preserve"> that, when the UE is in </w:t>
      </w:r>
      <w:r>
        <w:t>EN-DC</w:t>
      </w:r>
      <w:r w:rsidR="00361DE0">
        <w:t>,</w:t>
      </w:r>
      <w:r w:rsidR="00154B54">
        <w:t xml:space="preserve"> </w:t>
      </w:r>
      <w:r w:rsidR="00F32543">
        <w:t xml:space="preserve">MeNB </w:t>
      </w:r>
      <w:r w:rsidR="006C081E">
        <w:t xml:space="preserve">must always configure measurement gaps when activating </w:t>
      </w:r>
      <w:r w:rsidR="00F32543">
        <w:t>inter-RAT measurement</w:t>
      </w:r>
      <w:r w:rsidR="004726E6">
        <w:t>s</w:t>
      </w:r>
      <w:r w:rsidR="00F32543">
        <w:t xml:space="preserve"> </w:t>
      </w:r>
      <w:r w:rsidR="004726E6">
        <w:t>(</w:t>
      </w:r>
      <w:r w:rsidR="006C081E">
        <w:t xml:space="preserve">e.g. </w:t>
      </w:r>
      <w:r w:rsidR="00F32543">
        <w:t>to UTRA</w:t>
      </w:r>
      <w:r w:rsidR="004726E6">
        <w:t>)</w:t>
      </w:r>
      <w:r w:rsidR="00F32543">
        <w:t xml:space="preserve"> </w:t>
      </w:r>
      <w:r w:rsidR="006C081E">
        <w:t>or</w:t>
      </w:r>
      <w:r w:rsidR="00F32543">
        <w:t xml:space="preserve"> </w:t>
      </w:r>
      <w:r w:rsidR="009A1E97">
        <w:t>LTE</w:t>
      </w:r>
      <w:r w:rsidR="00F32543">
        <w:t xml:space="preserve"> inter-frequency measurement</w:t>
      </w:r>
      <w:r w:rsidR="004726E6">
        <w:t>s</w:t>
      </w:r>
      <w:r w:rsidR="00F32543">
        <w:t xml:space="preserve">, </w:t>
      </w:r>
      <w:r w:rsidR="006C081E">
        <w:t>even though</w:t>
      </w:r>
      <w:r w:rsidR="00D74C4A">
        <w:t xml:space="preserve"> </w:t>
      </w:r>
      <w:r w:rsidR="00F32543">
        <w:t xml:space="preserve">no measurement to NR </w:t>
      </w:r>
      <w:r w:rsidR="00D5207B">
        <w:t xml:space="preserve">frequencies </w:t>
      </w:r>
      <w:r w:rsidR="009A1E97">
        <w:t xml:space="preserve">(in FR1 or FR2) </w:t>
      </w:r>
      <w:r w:rsidR="00D5207B">
        <w:t>is required</w:t>
      </w:r>
      <w:r w:rsidR="00F32543">
        <w:t xml:space="preserve">. </w:t>
      </w:r>
    </w:p>
    <w:p w14:paraId="1E8FBB0E" w14:textId="04250DB3" w:rsidR="00D5207B" w:rsidRDefault="00D5207B" w:rsidP="0022636F">
      <w:r>
        <w:t>This is a special case that was never discussed in RAN2 and need a clarification</w:t>
      </w:r>
      <w:r w:rsidR="00775775">
        <w:t xml:space="preserve">, </w:t>
      </w:r>
      <w:r w:rsidR="00D65627">
        <w:t>in particular</w:t>
      </w:r>
      <w:r w:rsidR="00775775">
        <w:t>:</w:t>
      </w:r>
    </w:p>
    <w:p w14:paraId="35ECA428" w14:textId="3B2641AD" w:rsidR="0022636F" w:rsidRDefault="008C2A18" w:rsidP="0022636F">
      <w:pPr>
        <w:rPr>
          <w:noProof/>
        </w:rPr>
      </w:pPr>
      <w:r>
        <w:t>It is not clear</w:t>
      </w:r>
      <w:r w:rsidR="00D74C4A">
        <w:t>,</w:t>
      </w:r>
      <w:r w:rsidR="00F32543">
        <w:t xml:space="preserve"> </w:t>
      </w:r>
      <w:r w:rsidR="00154B54">
        <w:t xml:space="preserve">if </w:t>
      </w:r>
      <w:r w:rsidR="0022636F">
        <w:t xml:space="preserve">the </w:t>
      </w:r>
      <w:r w:rsidR="00D65627">
        <w:t xml:space="preserve">legacy </w:t>
      </w:r>
      <w:r w:rsidR="0022636F" w:rsidRPr="00D5294A">
        <w:rPr>
          <w:i/>
        </w:rPr>
        <w:t>NeedForGap</w:t>
      </w:r>
      <w:r w:rsidR="0022636F">
        <w:t xml:space="preserve"> </w:t>
      </w:r>
      <w:r w:rsidR="00D65627">
        <w:t xml:space="preserve">UE </w:t>
      </w:r>
      <w:r w:rsidR="0022636F">
        <w:t xml:space="preserve">capability to </w:t>
      </w:r>
      <w:r w:rsidR="00D65627">
        <w:t xml:space="preserve">e.g. an </w:t>
      </w:r>
      <w:r w:rsidR="0022636F">
        <w:t xml:space="preserve">UTRA </w:t>
      </w:r>
      <w:r w:rsidR="00D65627">
        <w:t xml:space="preserve">or an </w:t>
      </w:r>
      <w:r w:rsidR="0022636F">
        <w:t xml:space="preserve">E-UTRA </w:t>
      </w:r>
      <w:r w:rsidR="00D65627">
        <w:t xml:space="preserve">frequency band </w:t>
      </w:r>
      <w:r w:rsidR="00154B54">
        <w:t>reported</w:t>
      </w:r>
      <w:r w:rsidR="0022636F">
        <w:t xml:space="preserve"> in </w:t>
      </w:r>
      <w:r w:rsidR="0022636F" w:rsidRPr="00CC7909">
        <w:rPr>
          <w:i/>
          <w:noProof/>
        </w:rPr>
        <w:t>UE-EUTRA-Capability</w:t>
      </w:r>
      <w:r w:rsidR="0022636F">
        <w:rPr>
          <w:i/>
          <w:noProof/>
        </w:rPr>
        <w:t xml:space="preserve"> </w:t>
      </w:r>
      <w:r w:rsidR="0022636F">
        <w:rPr>
          <w:noProof/>
        </w:rPr>
        <w:t xml:space="preserve">is still valid for </w:t>
      </w:r>
      <w:r w:rsidR="009A1E97">
        <w:rPr>
          <w:noProof/>
        </w:rPr>
        <w:t xml:space="preserve">the </w:t>
      </w:r>
      <w:r w:rsidR="00154B54">
        <w:rPr>
          <w:noProof/>
        </w:rPr>
        <w:t>M</w:t>
      </w:r>
      <w:r w:rsidR="0022636F">
        <w:rPr>
          <w:noProof/>
        </w:rPr>
        <w:t xml:space="preserve">eNB to judge </w:t>
      </w:r>
      <w:r w:rsidR="00D65627">
        <w:rPr>
          <w:noProof/>
        </w:rPr>
        <w:t xml:space="preserve">whether it needs to configure </w:t>
      </w:r>
      <w:r w:rsidR="00840B35">
        <w:rPr>
          <w:noProof/>
        </w:rPr>
        <w:t>measurement</w:t>
      </w:r>
      <w:r w:rsidR="00D65627">
        <w:rPr>
          <w:noProof/>
        </w:rPr>
        <w:t xml:space="preserve"> gaps when activating the respective measurement at the UE in EN-DC.</w:t>
      </w:r>
    </w:p>
    <w:p w14:paraId="408AA90D" w14:textId="77777777" w:rsidR="00840B35" w:rsidRDefault="00D74C4A" w:rsidP="0022636F">
      <w:pPr>
        <w:rPr>
          <w:noProof/>
        </w:rPr>
      </w:pPr>
      <w:r>
        <w:rPr>
          <w:noProof/>
        </w:rPr>
        <w:t>S</w:t>
      </w:r>
      <w:r w:rsidR="00154B54">
        <w:rPr>
          <w:noProof/>
        </w:rPr>
        <w:t xml:space="preserve">traight understanding for case </w:t>
      </w:r>
      <w:r w:rsidR="009A1E97">
        <w:rPr>
          <w:noProof/>
        </w:rPr>
        <w:t>when the UE is not in EN-DC mode</w:t>
      </w:r>
      <w:r w:rsidR="00D5207B">
        <w:rPr>
          <w:noProof/>
        </w:rPr>
        <w:t xml:space="preserve"> </w:t>
      </w:r>
      <w:r>
        <w:rPr>
          <w:noProof/>
        </w:rPr>
        <w:t xml:space="preserve">is </w:t>
      </w:r>
      <w:r w:rsidR="001018D0">
        <w:rPr>
          <w:noProof/>
        </w:rPr>
        <w:t xml:space="preserve">that </w:t>
      </w:r>
      <w:r w:rsidR="009A1E97">
        <w:rPr>
          <w:noProof/>
        </w:rPr>
        <w:t xml:space="preserve">the serving eNB shall apply </w:t>
      </w:r>
      <w:r>
        <w:rPr>
          <w:noProof/>
        </w:rPr>
        <w:t>t</w:t>
      </w:r>
      <w:r w:rsidR="00154B54">
        <w:rPr>
          <w:noProof/>
        </w:rPr>
        <w:t xml:space="preserve">he </w:t>
      </w:r>
      <w:r w:rsidR="00D65627">
        <w:rPr>
          <w:noProof/>
        </w:rPr>
        <w:t xml:space="preserve">legacy </w:t>
      </w:r>
      <w:r w:rsidR="00154B54" w:rsidRPr="00D5294A">
        <w:rPr>
          <w:i/>
          <w:noProof/>
        </w:rPr>
        <w:t>NeedForGap</w:t>
      </w:r>
      <w:r w:rsidR="00154B54">
        <w:rPr>
          <w:noProof/>
        </w:rPr>
        <w:t xml:space="preserve"> capability </w:t>
      </w:r>
      <w:r w:rsidR="009A1E97">
        <w:rPr>
          <w:noProof/>
        </w:rPr>
        <w:t xml:space="preserve">to decide about the need for measurement gaps when asking </w:t>
      </w:r>
      <w:r w:rsidR="00D65627">
        <w:rPr>
          <w:noProof/>
        </w:rPr>
        <w:t>for</w:t>
      </w:r>
      <w:r w:rsidR="001018D0">
        <w:rPr>
          <w:noProof/>
        </w:rPr>
        <w:t xml:space="preserve"> measuring</w:t>
      </w:r>
      <w:r w:rsidR="00D65627">
        <w:rPr>
          <w:noProof/>
        </w:rPr>
        <w:t xml:space="preserve"> an</w:t>
      </w:r>
      <w:r w:rsidR="001018D0">
        <w:rPr>
          <w:noProof/>
        </w:rPr>
        <w:t xml:space="preserve"> </w:t>
      </w:r>
      <w:r w:rsidR="00D5207B">
        <w:rPr>
          <w:noProof/>
        </w:rPr>
        <w:t xml:space="preserve">inter-RAT </w:t>
      </w:r>
      <w:r w:rsidR="001018D0">
        <w:rPr>
          <w:noProof/>
        </w:rPr>
        <w:t xml:space="preserve">(different from NR) </w:t>
      </w:r>
      <w:r w:rsidR="00D65627">
        <w:rPr>
          <w:noProof/>
        </w:rPr>
        <w:t>or an</w:t>
      </w:r>
      <w:r w:rsidR="00154B54">
        <w:rPr>
          <w:noProof/>
        </w:rPr>
        <w:t xml:space="preserve"> </w:t>
      </w:r>
      <w:r w:rsidR="009A1E97">
        <w:rPr>
          <w:noProof/>
        </w:rPr>
        <w:t>LTE</w:t>
      </w:r>
      <w:r w:rsidR="00154B54">
        <w:rPr>
          <w:noProof/>
        </w:rPr>
        <w:t xml:space="preserve"> </w:t>
      </w:r>
      <w:r w:rsidR="00D65627">
        <w:rPr>
          <w:noProof/>
        </w:rPr>
        <w:t>frequency</w:t>
      </w:r>
      <w:r w:rsidR="001018D0">
        <w:rPr>
          <w:noProof/>
        </w:rPr>
        <w:t xml:space="preserve"> </w:t>
      </w:r>
      <w:r w:rsidR="009A1E97">
        <w:rPr>
          <w:noProof/>
        </w:rPr>
        <w:t>and when</w:t>
      </w:r>
      <w:r>
        <w:rPr>
          <w:noProof/>
        </w:rPr>
        <w:t xml:space="preserve"> </w:t>
      </w:r>
      <w:r w:rsidR="00154B54">
        <w:rPr>
          <w:noProof/>
        </w:rPr>
        <w:t>no measur</w:t>
      </w:r>
      <w:r w:rsidR="00840B35">
        <w:rPr>
          <w:noProof/>
        </w:rPr>
        <w:t>e</w:t>
      </w:r>
      <w:r w:rsidR="00154B54">
        <w:rPr>
          <w:noProof/>
        </w:rPr>
        <w:t>ment to NR frequenc</w:t>
      </w:r>
      <w:r w:rsidR="009A1E97">
        <w:rPr>
          <w:noProof/>
        </w:rPr>
        <w:t>ies</w:t>
      </w:r>
      <w:r w:rsidR="00154B54">
        <w:rPr>
          <w:noProof/>
        </w:rPr>
        <w:t xml:space="preserve"> </w:t>
      </w:r>
      <w:r w:rsidR="001018D0">
        <w:rPr>
          <w:noProof/>
        </w:rPr>
        <w:t xml:space="preserve">is </w:t>
      </w:r>
      <w:r w:rsidR="009A1E97">
        <w:rPr>
          <w:noProof/>
        </w:rPr>
        <w:t>requested</w:t>
      </w:r>
      <w:r w:rsidR="00154B54">
        <w:rPr>
          <w:noProof/>
        </w:rPr>
        <w:t xml:space="preserve"> at same time</w:t>
      </w:r>
      <w:r w:rsidR="006601D9">
        <w:rPr>
          <w:noProof/>
        </w:rPr>
        <w:t xml:space="preserve">, which </w:t>
      </w:r>
      <w:r w:rsidR="008C2A18">
        <w:rPr>
          <w:noProof/>
        </w:rPr>
        <w:t xml:space="preserve">it </w:t>
      </w:r>
      <w:r w:rsidR="006601D9">
        <w:rPr>
          <w:noProof/>
        </w:rPr>
        <w:t xml:space="preserve">belongs to legacy </w:t>
      </w:r>
      <w:r w:rsidR="008C2A18">
        <w:rPr>
          <w:noProof/>
        </w:rPr>
        <w:t xml:space="preserve">network </w:t>
      </w:r>
      <w:r w:rsidR="006601D9">
        <w:rPr>
          <w:noProof/>
        </w:rPr>
        <w:t>behavior</w:t>
      </w:r>
      <w:r w:rsidR="00154B54">
        <w:rPr>
          <w:noProof/>
        </w:rPr>
        <w:t>.</w:t>
      </w:r>
    </w:p>
    <w:p w14:paraId="6C648FAB" w14:textId="1064BA91" w:rsidR="009A1E97" w:rsidRDefault="00840B35" w:rsidP="0022636F">
      <w:pPr>
        <w:rPr>
          <w:b/>
          <w:noProof/>
        </w:rPr>
      </w:pPr>
      <w:r w:rsidRPr="00840B35">
        <w:rPr>
          <w:b/>
          <w:noProof/>
        </w:rPr>
        <w:t xml:space="preserve">Proposal 1: </w:t>
      </w:r>
      <w:r w:rsidR="00154B54" w:rsidRPr="00840B35">
        <w:rPr>
          <w:b/>
          <w:noProof/>
        </w:rPr>
        <w:t xml:space="preserve"> </w:t>
      </w:r>
      <w:r w:rsidR="0085424D">
        <w:rPr>
          <w:b/>
          <w:noProof/>
        </w:rPr>
        <w:t>For EN-DC, c</w:t>
      </w:r>
      <w:r>
        <w:rPr>
          <w:b/>
          <w:noProof/>
        </w:rPr>
        <w:t xml:space="preserve">larify that when EN-DC is not yet setup and the UE is capable of </w:t>
      </w:r>
      <w:r w:rsidR="0085424D">
        <w:rPr>
          <w:b/>
          <w:noProof/>
        </w:rPr>
        <w:t>only per UE</w:t>
      </w:r>
      <w:r>
        <w:rPr>
          <w:b/>
          <w:noProof/>
        </w:rPr>
        <w:t xml:space="preserve"> gap and not asked to measure any NR frequencies in FR1, the LTE measurements (inter-frequency, inter-RAT) may or may not require gap depending on the </w:t>
      </w:r>
      <w:r w:rsidR="005C6428">
        <w:rPr>
          <w:b/>
          <w:noProof/>
        </w:rPr>
        <w:t>legacy LTE capability (i.e. LTE SA capability)</w:t>
      </w:r>
      <w:r>
        <w:rPr>
          <w:b/>
          <w:noProof/>
        </w:rPr>
        <w:t>.</w:t>
      </w:r>
    </w:p>
    <w:p w14:paraId="35607D22" w14:textId="72A9E646" w:rsidR="00570E37" w:rsidRDefault="00570E37" w:rsidP="0022636F">
      <w:pPr>
        <w:rPr>
          <w:b/>
          <w:noProof/>
        </w:rPr>
      </w:pPr>
      <w:r w:rsidRPr="00840B35">
        <w:rPr>
          <w:b/>
          <w:noProof/>
        </w:rPr>
        <w:t xml:space="preserve">Proposal </w:t>
      </w:r>
      <w:r>
        <w:rPr>
          <w:b/>
          <w:noProof/>
        </w:rPr>
        <w:t>2</w:t>
      </w:r>
      <w:r w:rsidRPr="00840B35">
        <w:rPr>
          <w:b/>
          <w:noProof/>
        </w:rPr>
        <w:t xml:space="preserve">:  </w:t>
      </w:r>
      <w:r>
        <w:rPr>
          <w:b/>
          <w:noProof/>
        </w:rPr>
        <w:t xml:space="preserve">For EN-DC, clarify that when EN-DC is setup and the UE is capable of per FR gap and not asked to measure any NR frequencies in FR1, the LTE measurements (inter-frequency, inter-RAT) may or may not require gap depending on the </w:t>
      </w:r>
      <w:r w:rsidR="005C6428">
        <w:rPr>
          <w:b/>
          <w:noProof/>
        </w:rPr>
        <w:t>LTE capability (i.e. LTE SA capability)</w:t>
      </w:r>
      <w:r>
        <w:rPr>
          <w:b/>
          <w:noProof/>
        </w:rPr>
        <w:t>.</w:t>
      </w:r>
    </w:p>
    <w:p w14:paraId="38D0B697" w14:textId="1C6A9B95" w:rsidR="0085424D" w:rsidRDefault="0085424D" w:rsidP="0022636F">
      <w:pPr>
        <w:rPr>
          <w:b/>
          <w:noProof/>
        </w:rPr>
      </w:pPr>
      <w:r>
        <w:rPr>
          <w:b/>
          <w:noProof/>
        </w:rPr>
        <w:t xml:space="preserve">Proposal 2: </w:t>
      </w:r>
      <w:r w:rsidR="00570E37">
        <w:rPr>
          <w:b/>
          <w:noProof/>
        </w:rPr>
        <w:t>Clarify the meaning of the text “</w:t>
      </w:r>
      <w:r w:rsidR="00570E37" w:rsidRPr="00570E37">
        <w:rPr>
          <w:b/>
          <w:noProof/>
          <w:highlight w:val="yellow"/>
        </w:rPr>
        <w:t>For UEs configured with E-UTRA inter-frequency measurements</w:t>
      </w:r>
      <w:r w:rsidR="00570E37" w:rsidRPr="00570E37">
        <w:rPr>
          <w:b/>
          <w:noProof/>
        </w:rPr>
        <w:t>” in the context of NE-DC.</w:t>
      </w:r>
    </w:p>
    <w:p w14:paraId="40DF5C13" w14:textId="137238BC" w:rsidR="00570E37" w:rsidRPr="00840B35" w:rsidRDefault="00570E37" w:rsidP="0022636F">
      <w:pPr>
        <w:rPr>
          <w:b/>
          <w:noProof/>
        </w:rPr>
      </w:pPr>
      <w:r>
        <w:rPr>
          <w:b/>
          <w:noProof/>
        </w:rPr>
        <w:t>Proposal 3: Clarify the meaning of the text “</w:t>
      </w:r>
      <w:r w:rsidRPr="00570E37">
        <w:rPr>
          <w:b/>
          <w:noProof/>
          <w:highlight w:val="yellow"/>
        </w:rPr>
        <w:t>For UEs configured with E-UTRA inter-frequency measurements</w:t>
      </w:r>
      <w:r w:rsidRPr="00570E37">
        <w:rPr>
          <w:b/>
          <w:noProof/>
        </w:rPr>
        <w:t xml:space="preserve">” in the context of </w:t>
      </w:r>
      <w:r>
        <w:rPr>
          <w:b/>
          <w:noProof/>
        </w:rPr>
        <w:t>NR</w:t>
      </w:r>
      <w:r w:rsidRPr="00570E37">
        <w:rPr>
          <w:b/>
          <w:noProof/>
        </w:rPr>
        <w:t>-DC.</w:t>
      </w:r>
    </w:p>
    <w:p w14:paraId="43A12B72" w14:textId="30758921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6601D9">
        <w:t>Conclusion</w:t>
      </w:r>
    </w:p>
    <w:p w14:paraId="60211047" w14:textId="6BD742DA" w:rsidR="00570E37" w:rsidRPr="00570E37" w:rsidRDefault="00570E37" w:rsidP="00570E37">
      <w:pPr>
        <w:rPr>
          <w:noProof/>
        </w:rPr>
      </w:pPr>
      <w:r w:rsidRPr="00570E37">
        <w:rPr>
          <w:noProof/>
        </w:rPr>
        <w:t xml:space="preserve">This discussion paper attempted to discuss </w:t>
      </w:r>
      <w:r>
        <w:rPr>
          <w:noProof/>
        </w:rPr>
        <w:t>the different scenarios in which measurement gaps are supposed to be configured and what capabilities must be used for the same:</w:t>
      </w:r>
    </w:p>
    <w:p w14:paraId="1DF4DBF0" w14:textId="77777777" w:rsidR="00D45840" w:rsidRDefault="00D45840" w:rsidP="00D45840">
      <w:pPr>
        <w:rPr>
          <w:b/>
          <w:noProof/>
        </w:rPr>
      </w:pPr>
      <w:r w:rsidRPr="00840B35">
        <w:rPr>
          <w:b/>
          <w:noProof/>
        </w:rPr>
        <w:t xml:space="preserve">Proposal 1:  </w:t>
      </w:r>
      <w:r>
        <w:rPr>
          <w:b/>
          <w:noProof/>
        </w:rPr>
        <w:t>For EN-DC, clarify that when EN-DC is not yet setup and the UE is capable of only per UE gap and not asked to measure any NR frequencies in FR1, the LTE measurements (inter-frequency, inter-RAT) may or may not require gap depending on the legacy LTE capability (i.e. LTE SA capability).</w:t>
      </w:r>
    </w:p>
    <w:p w14:paraId="55A64760" w14:textId="77777777" w:rsidR="00D45840" w:rsidRDefault="00D45840" w:rsidP="00D45840">
      <w:pPr>
        <w:rPr>
          <w:b/>
          <w:noProof/>
        </w:rPr>
      </w:pPr>
      <w:r w:rsidRPr="00840B35">
        <w:rPr>
          <w:b/>
          <w:noProof/>
        </w:rPr>
        <w:t xml:space="preserve">Proposal </w:t>
      </w:r>
      <w:r>
        <w:rPr>
          <w:b/>
          <w:noProof/>
        </w:rPr>
        <w:t>2</w:t>
      </w:r>
      <w:r w:rsidRPr="00840B35">
        <w:rPr>
          <w:b/>
          <w:noProof/>
        </w:rPr>
        <w:t xml:space="preserve">:  </w:t>
      </w:r>
      <w:r>
        <w:rPr>
          <w:b/>
          <w:noProof/>
        </w:rPr>
        <w:t>For EN-DC, clarify that when EN-DC is setup and the UE is capable of per FR gap and not asked to measure any NR frequencies in FR1, the LTE measurements (inter-frequency, inter-RAT) may or may not require gap depending on the LTE capability (i.e. LTE SA capability).</w:t>
      </w:r>
    </w:p>
    <w:p w14:paraId="670D08C3" w14:textId="77777777" w:rsidR="00D45840" w:rsidRDefault="00D45840" w:rsidP="00D45840">
      <w:pPr>
        <w:rPr>
          <w:b/>
          <w:noProof/>
        </w:rPr>
      </w:pPr>
      <w:r>
        <w:rPr>
          <w:b/>
          <w:noProof/>
        </w:rPr>
        <w:t>Proposal 2: Clarify the meaning of the text “</w:t>
      </w:r>
      <w:r w:rsidRPr="00570E37">
        <w:rPr>
          <w:b/>
          <w:noProof/>
          <w:highlight w:val="yellow"/>
        </w:rPr>
        <w:t>For UEs configured with E-UTRA inter-frequency measurements</w:t>
      </w:r>
      <w:r w:rsidRPr="00570E37">
        <w:rPr>
          <w:b/>
          <w:noProof/>
        </w:rPr>
        <w:t>” in the context of NE-DC.</w:t>
      </w:r>
    </w:p>
    <w:p w14:paraId="5524F183" w14:textId="3A248107" w:rsidR="00CD4C7B" w:rsidRPr="00137199" w:rsidRDefault="00D45840" w:rsidP="00CD4C7B">
      <w:pPr>
        <w:rPr>
          <w:b/>
          <w:noProof/>
        </w:rPr>
      </w:pPr>
      <w:r>
        <w:rPr>
          <w:b/>
          <w:noProof/>
        </w:rPr>
        <w:t>Proposal 3: Clarify the meaning of the text “</w:t>
      </w:r>
      <w:r w:rsidRPr="00570E37">
        <w:rPr>
          <w:b/>
          <w:noProof/>
          <w:highlight w:val="yellow"/>
        </w:rPr>
        <w:t>For UEs configured with E-UTRA inter-frequency measurements</w:t>
      </w:r>
      <w:r w:rsidRPr="00570E37">
        <w:rPr>
          <w:b/>
          <w:noProof/>
        </w:rPr>
        <w:t xml:space="preserve">” in the context of </w:t>
      </w:r>
      <w:r>
        <w:rPr>
          <w:b/>
          <w:noProof/>
        </w:rPr>
        <w:t>NR</w:t>
      </w:r>
      <w:r w:rsidRPr="00570E37">
        <w:rPr>
          <w:b/>
          <w:noProof/>
        </w:rPr>
        <w:t>-DC.</w:t>
      </w: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1AC6F" w14:textId="77777777" w:rsidR="00BA6E95" w:rsidRDefault="00BA6E95">
      <w:r>
        <w:separator/>
      </w:r>
    </w:p>
  </w:endnote>
  <w:endnote w:type="continuationSeparator" w:id="0">
    <w:p w14:paraId="53894598" w14:textId="77777777" w:rsidR="00BA6E95" w:rsidRDefault="00BA6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27EDD" w14:textId="77777777" w:rsidR="00BA6E95" w:rsidRDefault="00BA6E95">
      <w:r>
        <w:separator/>
      </w:r>
    </w:p>
  </w:footnote>
  <w:footnote w:type="continuationSeparator" w:id="0">
    <w:p w14:paraId="0E7CA439" w14:textId="77777777" w:rsidR="00BA6E95" w:rsidRDefault="00BA6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EB72CC1"/>
    <w:multiLevelType w:val="hybridMultilevel"/>
    <w:tmpl w:val="860A9BDA"/>
    <w:lvl w:ilvl="0" w:tplc="E084DA7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5" w15:restartNumberingAfterBreak="0">
    <w:nsid w:val="700D676E"/>
    <w:multiLevelType w:val="hybridMultilevel"/>
    <w:tmpl w:val="48A67EE2"/>
    <w:lvl w:ilvl="0" w:tplc="4DAADF7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90CE0"/>
    <w:rsid w:val="000B7BCF"/>
    <w:rsid w:val="000C522B"/>
    <w:rsid w:val="000D58AB"/>
    <w:rsid w:val="001018D0"/>
    <w:rsid w:val="00112F1A"/>
    <w:rsid w:val="00134415"/>
    <w:rsid w:val="00137199"/>
    <w:rsid w:val="00145075"/>
    <w:rsid w:val="00154B54"/>
    <w:rsid w:val="00162ED0"/>
    <w:rsid w:val="001741A0"/>
    <w:rsid w:val="00175FA0"/>
    <w:rsid w:val="00181B02"/>
    <w:rsid w:val="00194CD0"/>
    <w:rsid w:val="001B49C9"/>
    <w:rsid w:val="001C4F79"/>
    <w:rsid w:val="001C6F04"/>
    <w:rsid w:val="001F168B"/>
    <w:rsid w:val="001F7831"/>
    <w:rsid w:val="00204045"/>
    <w:rsid w:val="0020712B"/>
    <w:rsid w:val="0022606D"/>
    <w:rsid w:val="0022636F"/>
    <w:rsid w:val="00230E28"/>
    <w:rsid w:val="00231728"/>
    <w:rsid w:val="00251804"/>
    <w:rsid w:val="002610D8"/>
    <w:rsid w:val="002747EC"/>
    <w:rsid w:val="002855BF"/>
    <w:rsid w:val="002A0BCC"/>
    <w:rsid w:val="002F0D22"/>
    <w:rsid w:val="003172DC"/>
    <w:rsid w:val="00322972"/>
    <w:rsid w:val="00325AE3"/>
    <w:rsid w:val="00326069"/>
    <w:rsid w:val="0035462D"/>
    <w:rsid w:val="00361DE0"/>
    <w:rsid w:val="00364B41"/>
    <w:rsid w:val="003A41EF"/>
    <w:rsid w:val="003B40AD"/>
    <w:rsid w:val="003C4E37"/>
    <w:rsid w:val="003E16BE"/>
    <w:rsid w:val="003F4E28"/>
    <w:rsid w:val="004006E8"/>
    <w:rsid w:val="00401855"/>
    <w:rsid w:val="004056AB"/>
    <w:rsid w:val="0041444E"/>
    <w:rsid w:val="004478B4"/>
    <w:rsid w:val="00465587"/>
    <w:rsid w:val="004726E6"/>
    <w:rsid w:val="00477455"/>
    <w:rsid w:val="004A1F7B"/>
    <w:rsid w:val="004C44D2"/>
    <w:rsid w:val="004D3578"/>
    <w:rsid w:val="004D380D"/>
    <w:rsid w:val="004E213A"/>
    <w:rsid w:val="004F0CC5"/>
    <w:rsid w:val="00503171"/>
    <w:rsid w:val="00506C28"/>
    <w:rsid w:val="00534DA0"/>
    <w:rsid w:val="00543E6C"/>
    <w:rsid w:val="00565087"/>
    <w:rsid w:val="0056573F"/>
    <w:rsid w:val="00570E37"/>
    <w:rsid w:val="005A42FD"/>
    <w:rsid w:val="005C6428"/>
    <w:rsid w:val="005D42F5"/>
    <w:rsid w:val="005F30D8"/>
    <w:rsid w:val="00611566"/>
    <w:rsid w:val="006173C7"/>
    <w:rsid w:val="00646D99"/>
    <w:rsid w:val="00656910"/>
    <w:rsid w:val="006601D9"/>
    <w:rsid w:val="006A7DF5"/>
    <w:rsid w:val="006C081E"/>
    <w:rsid w:val="006C66D8"/>
    <w:rsid w:val="006D1E24"/>
    <w:rsid w:val="006E1417"/>
    <w:rsid w:val="006E51A5"/>
    <w:rsid w:val="006F6A2C"/>
    <w:rsid w:val="006F7FB0"/>
    <w:rsid w:val="00710201"/>
    <w:rsid w:val="0071247E"/>
    <w:rsid w:val="007342B5"/>
    <w:rsid w:val="00734A5B"/>
    <w:rsid w:val="00744E76"/>
    <w:rsid w:val="00757D40"/>
    <w:rsid w:val="00775775"/>
    <w:rsid w:val="00781F0F"/>
    <w:rsid w:val="0078727C"/>
    <w:rsid w:val="0079049D"/>
    <w:rsid w:val="00793DC5"/>
    <w:rsid w:val="007A020F"/>
    <w:rsid w:val="007B18D8"/>
    <w:rsid w:val="007C095F"/>
    <w:rsid w:val="007C2DD0"/>
    <w:rsid w:val="008028A4"/>
    <w:rsid w:val="00812895"/>
    <w:rsid w:val="00813245"/>
    <w:rsid w:val="00840B35"/>
    <w:rsid w:val="0084637F"/>
    <w:rsid w:val="0085424D"/>
    <w:rsid w:val="008768CA"/>
    <w:rsid w:val="00877EF9"/>
    <w:rsid w:val="00880559"/>
    <w:rsid w:val="008B4B70"/>
    <w:rsid w:val="008B5306"/>
    <w:rsid w:val="008C2A18"/>
    <w:rsid w:val="008D2E4D"/>
    <w:rsid w:val="008F396F"/>
    <w:rsid w:val="0090271F"/>
    <w:rsid w:val="00902DB9"/>
    <w:rsid w:val="0090466A"/>
    <w:rsid w:val="00936071"/>
    <w:rsid w:val="00940212"/>
    <w:rsid w:val="00942EC2"/>
    <w:rsid w:val="00961B32"/>
    <w:rsid w:val="00962509"/>
    <w:rsid w:val="00970DB3"/>
    <w:rsid w:val="00974BB0"/>
    <w:rsid w:val="009A0AF3"/>
    <w:rsid w:val="009A1E97"/>
    <w:rsid w:val="009B07CD"/>
    <w:rsid w:val="009C19E9"/>
    <w:rsid w:val="009C5DD7"/>
    <w:rsid w:val="009D74A6"/>
    <w:rsid w:val="00A10F02"/>
    <w:rsid w:val="00A204CA"/>
    <w:rsid w:val="00A53724"/>
    <w:rsid w:val="00A82346"/>
    <w:rsid w:val="00A9671C"/>
    <w:rsid w:val="00AA1553"/>
    <w:rsid w:val="00B05380"/>
    <w:rsid w:val="00B05962"/>
    <w:rsid w:val="00B15449"/>
    <w:rsid w:val="00B27303"/>
    <w:rsid w:val="00B462B7"/>
    <w:rsid w:val="00B47FD1"/>
    <w:rsid w:val="00B516BB"/>
    <w:rsid w:val="00B84DB2"/>
    <w:rsid w:val="00B93407"/>
    <w:rsid w:val="00BA6E95"/>
    <w:rsid w:val="00BC3555"/>
    <w:rsid w:val="00C12B51"/>
    <w:rsid w:val="00C24650"/>
    <w:rsid w:val="00C25465"/>
    <w:rsid w:val="00C25AB9"/>
    <w:rsid w:val="00C33079"/>
    <w:rsid w:val="00C83A13"/>
    <w:rsid w:val="00C9068C"/>
    <w:rsid w:val="00C92967"/>
    <w:rsid w:val="00CA3D0C"/>
    <w:rsid w:val="00CA654B"/>
    <w:rsid w:val="00CB72B8"/>
    <w:rsid w:val="00CD4C7B"/>
    <w:rsid w:val="00CF3C8D"/>
    <w:rsid w:val="00D33BE3"/>
    <w:rsid w:val="00D3792D"/>
    <w:rsid w:val="00D45840"/>
    <w:rsid w:val="00D47208"/>
    <w:rsid w:val="00D5207B"/>
    <w:rsid w:val="00D528F5"/>
    <w:rsid w:val="00D5294A"/>
    <w:rsid w:val="00D55E47"/>
    <w:rsid w:val="00D62E19"/>
    <w:rsid w:val="00D65627"/>
    <w:rsid w:val="00D67CD1"/>
    <w:rsid w:val="00D70BB3"/>
    <w:rsid w:val="00D738D6"/>
    <w:rsid w:val="00D74C4A"/>
    <w:rsid w:val="00D80795"/>
    <w:rsid w:val="00D854BE"/>
    <w:rsid w:val="00D87E00"/>
    <w:rsid w:val="00D9134D"/>
    <w:rsid w:val="00D96D11"/>
    <w:rsid w:val="00DA7A03"/>
    <w:rsid w:val="00DB0DB8"/>
    <w:rsid w:val="00DB1818"/>
    <w:rsid w:val="00DC084C"/>
    <w:rsid w:val="00DC309B"/>
    <w:rsid w:val="00DC4DA2"/>
    <w:rsid w:val="00DF493F"/>
    <w:rsid w:val="00E00816"/>
    <w:rsid w:val="00E46C08"/>
    <w:rsid w:val="00E471CF"/>
    <w:rsid w:val="00E62835"/>
    <w:rsid w:val="00E77645"/>
    <w:rsid w:val="00E83697"/>
    <w:rsid w:val="00EB1E44"/>
    <w:rsid w:val="00EC32D5"/>
    <w:rsid w:val="00EC4A25"/>
    <w:rsid w:val="00ED3580"/>
    <w:rsid w:val="00EE2408"/>
    <w:rsid w:val="00EE67CA"/>
    <w:rsid w:val="00EF47AC"/>
    <w:rsid w:val="00F025A2"/>
    <w:rsid w:val="00F07388"/>
    <w:rsid w:val="00F2026E"/>
    <w:rsid w:val="00F2210A"/>
    <w:rsid w:val="00F24345"/>
    <w:rsid w:val="00F32543"/>
    <w:rsid w:val="00F37743"/>
    <w:rsid w:val="00F479EC"/>
    <w:rsid w:val="00F54A3D"/>
    <w:rsid w:val="00F54CB0"/>
    <w:rsid w:val="00F653B8"/>
    <w:rsid w:val="00F71B89"/>
    <w:rsid w:val="00F7353C"/>
    <w:rsid w:val="00F76F8F"/>
    <w:rsid w:val="00F941DF"/>
    <w:rsid w:val="00FA1266"/>
    <w:rsid w:val="00FA7D79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B1Zchn">
    <w:name w:val="B1 Zchn"/>
    <w:link w:val="B1"/>
    <w:rsid w:val="00322972"/>
    <w:rPr>
      <w:lang w:eastAsia="en-US"/>
    </w:rPr>
  </w:style>
  <w:style w:type="character" w:customStyle="1" w:styleId="NOZchn">
    <w:name w:val="NO Zchn"/>
    <w:link w:val="NO"/>
    <w:rsid w:val="00DC084C"/>
    <w:rPr>
      <w:lang w:eastAsia="en-US"/>
    </w:rPr>
  </w:style>
  <w:style w:type="paragraph" w:styleId="Revision">
    <w:name w:val="Revision"/>
    <w:hidden/>
    <w:uiPriority w:val="99"/>
    <w:semiHidden/>
    <w:rsid w:val="006A7DF5"/>
    <w:rPr>
      <w:lang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9C5DD7"/>
    <w:pPr>
      <w:ind w:left="720"/>
      <w:contextualSpacing/>
    </w:pPr>
  </w:style>
  <w:style w:type="table" w:styleId="TableGrid">
    <w:name w:val="Table Grid"/>
    <w:basedOn w:val="TableNormal"/>
    <w:rsid w:val="00812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F479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6249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He, Jing 1. (NSB - CN/Beijing)</dc:creator>
  <cp:lastModifiedBy>Nokia RAN2</cp:lastModifiedBy>
  <cp:revision>8</cp:revision>
  <dcterms:created xsi:type="dcterms:W3CDTF">2019-02-13T16:51:00Z</dcterms:created>
  <dcterms:modified xsi:type="dcterms:W3CDTF">2019-03-28T19:55:00Z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